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CACA7">
      <w:pPr>
        <w:spacing w:line="576" w:lineRule="exact"/>
        <w:rPr>
          <w:rFonts w:hint="eastAsia" w:ascii="方正小标宋_GBK" w:hAnsi="ˎ̥" w:eastAsia="方正小标宋_GBK"/>
          <w:color w:val="252525"/>
          <w:sz w:val="44"/>
          <w:szCs w:val="44"/>
        </w:rPr>
      </w:pPr>
      <w:r>
        <w:rPr>
          <w:rFonts w:hint="eastAsia" w:ascii="方正小标宋_GBK" w:hAnsi="ˎ̥" w:eastAsia="方正小标宋_GBK"/>
          <w:color w:val="252525"/>
          <w:sz w:val="44"/>
          <w:szCs w:val="44"/>
        </w:rPr>
        <w:t>关于做好202</w:t>
      </w:r>
      <w:r>
        <w:rPr>
          <w:rFonts w:hint="eastAsia" w:ascii="方正小标宋_GBK" w:hAnsi="ˎ̥" w:eastAsia="方正小标宋_GBK"/>
          <w:color w:val="252525"/>
          <w:sz w:val="44"/>
          <w:szCs w:val="44"/>
          <w:lang w:val="en-US" w:eastAsia="zh-CN"/>
        </w:rPr>
        <w:t>5</w:t>
      </w:r>
      <w:r>
        <w:rPr>
          <w:rFonts w:hint="eastAsia" w:ascii="方正小标宋_GBK" w:hAnsi="ˎ̥" w:eastAsia="方正小标宋_GBK"/>
          <w:color w:val="252525"/>
          <w:sz w:val="44"/>
          <w:szCs w:val="44"/>
        </w:rPr>
        <w:t>研究生中期考核工作的通知</w:t>
      </w:r>
    </w:p>
    <w:p w14:paraId="113F341E">
      <w:pPr>
        <w:spacing w:line="576" w:lineRule="exact"/>
        <w:rPr>
          <w:rFonts w:hint="eastAsia" w:ascii="仿宋_GB2312" w:hAnsi="ˎ̥" w:eastAsia="仿宋_GB2312"/>
          <w:color w:val="252525"/>
          <w:sz w:val="32"/>
          <w:szCs w:val="32"/>
        </w:rPr>
      </w:pPr>
      <w:r>
        <w:rPr>
          <w:rFonts w:hint="eastAsia" w:ascii="仿宋_GB2312" w:hAnsi="ˎ̥" w:eastAsia="仿宋_GB2312"/>
          <w:color w:val="252525"/>
          <w:sz w:val="32"/>
          <w:szCs w:val="32"/>
        </w:rPr>
        <w:t xml:space="preserve"> </w:t>
      </w:r>
    </w:p>
    <w:p w14:paraId="313E81D2">
      <w:pPr>
        <w:spacing w:line="576" w:lineRule="exact"/>
        <w:rPr>
          <w:rFonts w:hint="eastAsia" w:ascii="方正仿宋_GBK" w:hAnsi="ˎ̥" w:eastAsia="方正仿宋_GBK"/>
          <w:color w:val="252525"/>
          <w:sz w:val="32"/>
          <w:szCs w:val="32"/>
        </w:rPr>
      </w:pPr>
      <w:r>
        <w:rPr>
          <w:rFonts w:hint="eastAsia" w:ascii="方正仿宋_GBK" w:hAnsi="ˎ̥" w:eastAsia="方正仿宋_GBK"/>
          <w:color w:val="252525"/>
          <w:sz w:val="32"/>
          <w:szCs w:val="32"/>
        </w:rPr>
        <w:t>各学院：</w:t>
      </w:r>
    </w:p>
    <w:p w14:paraId="5F928BA7">
      <w:pPr>
        <w:pStyle w:val="5"/>
        <w:spacing w:line="576" w:lineRule="exact"/>
        <w:ind w:firstLine="645"/>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 xml:space="preserve"> 根据国务院学位委员会和教育部《关于加强学位与研究生教育质量保证和监督体系建设的意见》（学位[2014] 3号），为了进一步规范我校研究生培养过程，提高研究生学位论文质量，现将202</w:t>
      </w:r>
      <w:r>
        <w:rPr>
          <w:rFonts w:hint="eastAsia" w:ascii="方正仿宋_GBK" w:hAnsi="Verdana" w:eastAsia="方正仿宋_GBK"/>
          <w:color w:val="171717"/>
          <w:sz w:val="32"/>
          <w:szCs w:val="32"/>
          <w:lang w:val="en-US" w:eastAsia="zh-CN"/>
        </w:rPr>
        <w:t>5</w:t>
      </w:r>
      <w:r>
        <w:rPr>
          <w:rFonts w:hint="eastAsia" w:ascii="方正仿宋_GBK" w:hAnsi="Verdana" w:eastAsia="方正仿宋_GBK"/>
          <w:color w:val="171717"/>
          <w:sz w:val="32"/>
          <w:szCs w:val="32"/>
        </w:rPr>
        <w:t>届研究生中期考核工作有关事项通知如下：</w:t>
      </w:r>
    </w:p>
    <w:p w14:paraId="03FC2DC6">
      <w:pPr>
        <w:pStyle w:val="5"/>
        <w:spacing w:line="576" w:lineRule="exact"/>
        <w:ind w:firstLine="645"/>
        <w:jc w:val="both"/>
        <w:rPr>
          <w:rFonts w:ascii="方正仿宋_GBK" w:hAnsi="Verdana" w:eastAsia="方正仿宋_GBK"/>
          <w:b/>
          <w:bCs/>
          <w:color w:val="171717"/>
          <w:sz w:val="32"/>
          <w:szCs w:val="32"/>
        </w:rPr>
      </w:pPr>
      <w:r>
        <w:rPr>
          <w:rFonts w:hint="eastAsia" w:ascii="方正仿宋_GBK" w:hAnsi="Verdana" w:eastAsia="方正仿宋_GBK"/>
          <w:b/>
          <w:bCs/>
          <w:color w:val="171717"/>
          <w:sz w:val="32"/>
          <w:szCs w:val="32"/>
        </w:rPr>
        <w:t>一、中期考核过程</w:t>
      </w:r>
    </w:p>
    <w:p w14:paraId="665B9B26">
      <w:pPr>
        <w:pStyle w:val="5"/>
        <w:spacing w:line="576" w:lineRule="exact"/>
        <w:ind w:firstLine="480" w:firstLineChars="150"/>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（一）中期考核对象与内容</w:t>
      </w:r>
    </w:p>
    <w:p w14:paraId="7C328F1C">
      <w:pPr>
        <w:pStyle w:val="5"/>
        <w:spacing w:line="576" w:lineRule="exact"/>
        <w:ind w:firstLine="480" w:firstLineChars="150"/>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 xml:space="preserve">  1. 考核对象</w:t>
      </w:r>
    </w:p>
    <w:p w14:paraId="242FEA42">
      <w:pPr>
        <w:pStyle w:val="5"/>
        <w:spacing w:line="576" w:lineRule="exact"/>
        <w:ind w:firstLine="800" w:firstLineChars="250"/>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202</w:t>
      </w:r>
      <w:r>
        <w:rPr>
          <w:rFonts w:hint="eastAsia" w:ascii="方正仿宋_GBK" w:hAnsi="Verdana" w:eastAsia="方正仿宋_GBK"/>
          <w:color w:val="171717"/>
          <w:sz w:val="32"/>
          <w:szCs w:val="32"/>
          <w:lang w:val="en-US" w:eastAsia="zh-CN"/>
        </w:rPr>
        <w:t>5</w:t>
      </w:r>
      <w:r>
        <w:rPr>
          <w:rFonts w:hint="eastAsia" w:ascii="方正仿宋_GBK" w:hAnsi="Verdana" w:eastAsia="方正仿宋_GBK"/>
          <w:color w:val="171717"/>
          <w:sz w:val="32"/>
          <w:szCs w:val="32"/>
        </w:rPr>
        <w:t>届博士、硕士研究生开题报告通过的研究生。</w:t>
      </w:r>
    </w:p>
    <w:p w14:paraId="3853C41C">
      <w:pPr>
        <w:pStyle w:val="5"/>
        <w:spacing w:line="576" w:lineRule="exact"/>
        <w:ind w:firstLine="800" w:firstLineChars="250"/>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2. 考核内容</w:t>
      </w:r>
    </w:p>
    <w:p w14:paraId="667ECCF3">
      <w:pPr>
        <w:pStyle w:val="5"/>
        <w:spacing w:line="576" w:lineRule="exact"/>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 xml:space="preserve">    （1）课程学习情况；</w:t>
      </w:r>
    </w:p>
    <w:p w14:paraId="784E5B90">
      <w:pPr>
        <w:pStyle w:val="5"/>
        <w:spacing w:line="576" w:lineRule="exact"/>
        <w:ind w:firstLine="640" w:firstLineChars="200"/>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（2）学位论文进展情况（包括其规范性和完整性）；</w:t>
      </w:r>
    </w:p>
    <w:p w14:paraId="1DF0A445">
      <w:pPr>
        <w:pStyle w:val="5"/>
        <w:spacing w:line="576" w:lineRule="exact"/>
        <w:ind w:firstLine="640" w:firstLineChars="200"/>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（3）是否完成学位论文初稿或论文详细大纲；</w:t>
      </w:r>
    </w:p>
    <w:p w14:paraId="5F55434D">
      <w:pPr>
        <w:widowControl/>
        <w:spacing w:before="100" w:beforeAutospacing="1" w:after="100" w:afterAutospacing="1" w:line="576" w:lineRule="exact"/>
        <w:ind w:firstLine="480" w:firstLineChars="150"/>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（二）考核标准、结果和等次</w:t>
      </w:r>
      <w:r>
        <w:rPr>
          <w:rFonts w:hint="eastAsia" w:ascii="Tahoma" w:hAnsi="Tahoma" w:eastAsia="方正仿宋_GBK" w:cs="Tahoma"/>
          <w:color w:val="252525"/>
          <w:kern w:val="0"/>
          <w:sz w:val="32"/>
          <w:szCs w:val="32"/>
        </w:rPr>
        <w:t> </w:t>
      </w:r>
    </w:p>
    <w:tbl>
      <w:tblPr>
        <w:tblStyle w:val="7"/>
        <w:tblW w:w="5000"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944"/>
        <w:gridCol w:w="2646"/>
        <w:gridCol w:w="1470"/>
      </w:tblGrid>
      <w:tr w14:paraId="32EFD7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jc w:val="center"/>
        </w:trPr>
        <w:tc>
          <w:tcPr>
            <w:tcW w:w="2729" w:type="pct"/>
            <w:vAlign w:val="center"/>
          </w:tcPr>
          <w:p w14:paraId="3C7A44B4">
            <w:pPr>
              <w:widowControl/>
              <w:spacing w:before="100" w:beforeAutospacing="1" w:after="100" w:afterAutospacing="1" w:line="576" w:lineRule="exact"/>
              <w:jc w:val="left"/>
              <w:rPr>
                <w:rFonts w:hint="eastAsia" w:ascii="方正仿宋_GBK" w:hAnsi="ˎ̥" w:eastAsia="方正仿宋_GBK" w:cs="宋体"/>
                <w:b/>
                <w:color w:val="434343"/>
                <w:kern w:val="0"/>
                <w:sz w:val="32"/>
                <w:szCs w:val="32"/>
              </w:rPr>
            </w:pPr>
            <w:r>
              <w:rPr>
                <w:rFonts w:hint="eastAsia" w:ascii="方正仿宋_GBK" w:hAnsi="ˎ̥" w:eastAsia="方正仿宋_GBK" w:cs="宋体"/>
                <w:b/>
                <w:color w:val="252525"/>
                <w:kern w:val="0"/>
                <w:sz w:val="32"/>
                <w:szCs w:val="32"/>
              </w:rPr>
              <w:t>标准</w:t>
            </w:r>
          </w:p>
        </w:tc>
        <w:tc>
          <w:tcPr>
            <w:tcW w:w="1460" w:type="pct"/>
            <w:vAlign w:val="center"/>
          </w:tcPr>
          <w:p w14:paraId="51513AE6">
            <w:pPr>
              <w:widowControl/>
              <w:spacing w:before="100" w:beforeAutospacing="1" w:after="100" w:afterAutospacing="1" w:line="576" w:lineRule="exact"/>
              <w:jc w:val="left"/>
              <w:rPr>
                <w:rFonts w:hint="eastAsia" w:ascii="方正仿宋_GBK" w:hAnsi="ˎ̥" w:eastAsia="方正仿宋_GBK" w:cs="宋体"/>
                <w:b/>
                <w:color w:val="434343"/>
                <w:kern w:val="0"/>
                <w:sz w:val="32"/>
                <w:szCs w:val="32"/>
              </w:rPr>
            </w:pPr>
            <w:r>
              <w:rPr>
                <w:rFonts w:hint="eastAsia" w:ascii="方正仿宋_GBK" w:hAnsi="ˎ̥" w:eastAsia="方正仿宋_GBK" w:cs="宋体"/>
                <w:b/>
                <w:color w:val="252525"/>
                <w:kern w:val="0"/>
                <w:sz w:val="32"/>
                <w:szCs w:val="32"/>
              </w:rPr>
              <w:t>结果</w:t>
            </w:r>
          </w:p>
        </w:tc>
        <w:tc>
          <w:tcPr>
            <w:tcW w:w="811" w:type="pct"/>
            <w:vAlign w:val="center"/>
          </w:tcPr>
          <w:p w14:paraId="66063304">
            <w:pPr>
              <w:widowControl/>
              <w:spacing w:before="100" w:beforeAutospacing="1" w:after="100" w:afterAutospacing="1" w:line="576" w:lineRule="exact"/>
              <w:jc w:val="left"/>
              <w:rPr>
                <w:rFonts w:hint="eastAsia" w:ascii="方正仿宋_GBK" w:hAnsi="ˎ̥" w:eastAsia="方正仿宋_GBK" w:cs="宋体"/>
                <w:b/>
                <w:color w:val="434343"/>
                <w:kern w:val="0"/>
                <w:sz w:val="32"/>
                <w:szCs w:val="32"/>
              </w:rPr>
            </w:pPr>
            <w:r>
              <w:rPr>
                <w:rFonts w:hint="eastAsia" w:ascii="方正仿宋_GBK" w:hAnsi="ˎ̥" w:eastAsia="方正仿宋_GBK" w:cs="宋体"/>
                <w:b/>
                <w:color w:val="252525"/>
                <w:kern w:val="0"/>
                <w:sz w:val="32"/>
                <w:szCs w:val="32"/>
              </w:rPr>
              <w:t>等次</w:t>
            </w:r>
          </w:p>
        </w:tc>
      </w:tr>
      <w:tr w14:paraId="10929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50" w:hRule="atLeast"/>
          <w:jc w:val="center"/>
        </w:trPr>
        <w:tc>
          <w:tcPr>
            <w:tcW w:w="2729" w:type="pct"/>
            <w:tcBorders>
              <w:bottom w:val="single" w:color="auto" w:sz="4" w:space="0"/>
            </w:tcBorders>
            <w:vAlign w:val="center"/>
          </w:tcPr>
          <w:p w14:paraId="675B1D36">
            <w:pPr>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Tahoma" w:eastAsia="方正仿宋_GBK" w:cs="Tahoma"/>
                <w:color w:val="252525"/>
                <w:kern w:val="0"/>
                <w:sz w:val="32"/>
                <w:szCs w:val="32"/>
              </w:rPr>
              <w:t>课程学分达到培养方案和个人培养计划规定的学分要求</w:t>
            </w:r>
          </w:p>
        </w:tc>
        <w:tc>
          <w:tcPr>
            <w:tcW w:w="1460" w:type="pct"/>
            <w:vMerge w:val="restart"/>
            <w:vAlign w:val="center"/>
          </w:tcPr>
          <w:p w14:paraId="2BA418A6">
            <w:pPr>
              <w:widowControl/>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全部达标</w:t>
            </w:r>
          </w:p>
        </w:tc>
        <w:tc>
          <w:tcPr>
            <w:tcW w:w="811" w:type="pct"/>
            <w:vMerge w:val="restart"/>
            <w:vAlign w:val="center"/>
          </w:tcPr>
          <w:p w14:paraId="0B1F0A3C">
            <w:pPr>
              <w:widowControl/>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合格</w:t>
            </w:r>
          </w:p>
        </w:tc>
      </w:tr>
      <w:tr w14:paraId="658087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jc w:val="center"/>
        </w:trPr>
        <w:tc>
          <w:tcPr>
            <w:tcW w:w="2729" w:type="pct"/>
            <w:tcBorders>
              <w:top w:val="single" w:color="auto" w:sz="4" w:space="0"/>
              <w:bottom w:val="single" w:color="auto" w:sz="4" w:space="0"/>
            </w:tcBorders>
            <w:vAlign w:val="center"/>
          </w:tcPr>
          <w:p w14:paraId="2899AE6B">
            <w:pPr>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学位论文开题报告已获通过</w:t>
            </w:r>
          </w:p>
        </w:tc>
        <w:tc>
          <w:tcPr>
            <w:tcW w:w="1460" w:type="pct"/>
            <w:vMerge w:val="continue"/>
            <w:vAlign w:val="center"/>
          </w:tcPr>
          <w:p w14:paraId="33C2814C">
            <w:pPr>
              <w:widowControl/>
              <w:spacing w:before="100" w:beforeAutospacing="1" w:after="100" w:afterAutospacing="1" w:line="576" w:lineRule="exact"/>
              <w:rPr>
                <w:rFonts w:hint="eastAsia" w:ascii="方正仿宋_GBK" w:hAnsi="ˎ̥" w:eastAsia="方正仿宋_GBK" w:cs="宋体"/>
                <w:color w:val="252525"/>
                <w:kern w:val="0"/>
                <w:sz w:val="32"/>
                <w:szCs w:val="32"/>
              </w:rPr>
            </w:pPr>
          </w:p>
        </w:tc>
        <w:tc>
          <w:tcPr>
            <w:tcW w:w="811" w:type="pct"/>
            <w:vMerge w:val="continue"/>
            <w:vAlign w:val="center"/>
          </w:tcPr>
          <w:p w14:paraId="3CF7759F">
            <w:pPr>
              <w:widowControl/>
              <w:spacing w:before="100" w:beforeAutospacing="1" w:after="100" w:afterAutospacing="1" w:line="576" w:lineRule="exact"/>
              <w:rPr>
                <w:rFonts w:hint="eastAsia" w:ascii="方正仿宋_GBK" w:hAnsi="ˎ̥" w:eastAsia="方正仿宋_GBK" w:cs="宋体"/>
                <w:color w:val="252525"/>
                <w:kern w:val="0"/>
                <w:sz w:val="32"/>
                <w:szCs w:val="32"/>
              </w:rPr>
            </w:pPr>
          </w:p>
        </w:tc>
      </w:tr>
      <w:tr w14:paraId="7EE500D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jc w:val="center"/>
        </w:trPr>
        <w:tc>
          <w:tcPr>
            <w:tcW w:w="2729" w:type="pct"/>
            <w:tcBorders>
              <w:top w:val="single" w:color="auto" w:sz="4" w:space="0"/>
            </w:tcBorders>
            <w:vAlign w:val="center"/>
          </w:tcPr>
          <w:p w14:paraId="2C5224CA">
            <w:pPr>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完成论文初稿或详细大纲</w:t>
            </w:r>
          </w:p>
        </w:tc>
        <w:tc>
          <w:tcPr>
            <w:tcW w:w="1460" w:type="pct"/>
            <w:vMerge w:val="continue"/>
            <w:vAlign w:val="center"/>
          </w:tcPr>
          <w:p w14:paraId="02E525B7">
            <w:pPr>
              <w:widowControl/>
              <w:spacing w:before="100" w:beforeAutospacing="1" w:after="100" w:afterAutospacing="1" w:line="576" w:lineRule="exact"/>
              <w:rPr>
                <w:rFonts w:hint="eastAsia" w:ascii="方正仿宋_GBK" w:hAnsi="ˎ̥" w:eastAsia="方正仿宋_GBK" w:cs="宋体"/>
                <w:color w:val="252525"/>
                <w:kern w:val="0"/>
                <w:sz w:val="32"/>
                <w:szCs w:val="32"/>
              </w:rPr>
            </w:pPr>
          </w:p>
        </w:tc>
        <w:tc>
          <w:tcPr>
            <w:tcW w:w="811" w:type="pct"/>
            <w:vMerge w:val="continue"/>
            <w:vAlign w:val="center"/>
          </w:tcPr>
          <w:p w14:paraId="122F892B">
            <w:pPr>
              <w:widowControl/>
              <w:spacing w:before="100" w:beforeAutospacing="1" w:after="100" w:afterAutospacing="1" w:line="576" w:lineRule="exact"/>
              <w:rPr>
                <w:rFonts w:hint="eastAsia" w:ascii="方正仿宋_GBK" w:hAnsi="ˎ̥" w:eastAsia="方正仿宋_GBK" w:cs="宋体"/>
                <w:color w:val="252525"/>
                <w:kern w:val="0"/>
                <w:sz w:val="32"/>
                <w:szCs w:val="32"/>
              </w:rPr>
            </w:pPr>
          </w:p>
        </w:tc>
      </w:tr>
      <w:tr w14:paraId="7ED4C84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6" w:hRule="atLeast"/>
          <w:jc w:val="center"/>
        </w:trPr>
        <w:tc>
          <w:tcPr>
            <w:tcW w:w="2729" w:type="pct"/>
            <w:vAlign w:val="center"/>
          </w:tcPr>
          <w:p w14:paraId="5EB66071">
            <w:pPr>
              <w:widowControl/>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Tahoma" w:eastAsia="方正仿宋_GBK" w:cs="Tahoma"/>
                <w:color w:val="252525"/>
                <w:kern w:val="0"/>
                <w:sz w:val="32"/>
                <w:szCs w:val="32"/>
              </w:rPr>
              <w:t>课程学分没有达到培养方案和个人培养计划规定的学分要求</w:t>
            </w:r>
          </w:p>
        </w:tc>
        <w:tc>
          <w:tcPr>
            <w:tcW w:w="1460" w:type="pct"/>
            <w:vMerge w:val="restart"/>
            <w:vAlign w:val="center"/>
          </w:tcPr>
          <w:p w14:paraId="0ECECA0A">
            <w:pPr>
              <w:widowControl/>
              <w:spacing w:before="100" w:beforeAutospacing="1" w:after="100" w:afterAutospacing="1" w:line="576" w:lineRule="exact"/>
              <w:rPr>
                <w:rFonts w:hint="eastAsia" w:ascii="方正仿宋_GBK" w:hAnsi="ˎ̥" w:eastAsia="方正仿宋_GBK" w:cs="宋体"/>
                <w:color w:val="434343"/>
                <w:kern w:val="0"/>
                <w:sz w:val="32"/>
                <w:szCs w:val="32"/>
              </w:rPr>
            </w:pPr>
            <w:r>
              <w:rPr>
                <w:rFonts w:hint="eastAsia" w:ascii="方正仿宋_GBK" w:hAnsi="ˎ̥" w:eastAsia="方正仿宋_GBK" w:cs="宋体"/>
                <w:color w:val="252525"/>
                <w:kern w:val="0"/>
                <w:sz w:val="32"/>
                <w:szCs w:val="32"/>
              </w:rPr>
              <w:t>未达标</w:t>
            </w:r>
          </w:p>
          <w:p w14:paraId="64559ED8">
            <w:pPr>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（符合其中的任一条）</w:t>
            </w:r>
          </w:p>
        </w:tc>
        <w:tc>
          <w:tcPr>
            <w:tcW w:w="811" w:type="pct"/>
            <w:vMerge w:val="restart"/>
            <w:vAlign w:val="center"/>
          </w:tcPr>
          <w:p w14:paraId="68DF57D4">
            <w:pPr>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不合格</w:t>
            </w:r>
          </w:p>
        </w:tc>
      </w:tr>
      <w:tr w14:paraId="2A818C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6" w:hRule="atLeast"/>
          <w:jc w:val="center"/>
        </w:trPr>
        <w:tc>
          <w:tcPr>
            <w:tcW w:w="2729" w:type="pct"/>
            <w:vAlign w:val="center"/>
          </w:tcPr>
          <w:p w14:paraId="73CA28A0">
            <w:pPr>
              <w:widowControl/>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学位论文开题报告尚未通过</w:t>
            </w:r>
          </w:p>
        </w:tc>
        <w:tc>
          <w:tcPr>
            <w:tcW w:w="1460" w:type="pct"/>
            <w:vMerge w:val="continue"/>
            <w:vAlign w:val="center"/>
          </w:tcPr>
          <w:p w14:paraId="5A9AFB5E">
            <w:pPr>
              <w:widowControl/>
              <w:spacing w:before="100" w:beforeAutospacing="1" w:after="100" w:afterAutospacing="1" w:line="576" w:lineRule="exact"/>
              <w:rPr>
                <w:rFonts w:ascii="方正仿宋_GBK" w:hAnsi="Tahoma" w:eastAsia="方正仿宋_GBK" w:cs="Tahoma"/>
                <w:color w:val="252525"/>
                <w:kern w:val="0"/>
                <w:sz w:val="32"/>
                <w:szCs w:val="32"/>
              </w:rPr>
            </w:pPr>
          </w:p>
        </w:tc>
        <w:tc>
          <w:tcPr>
            <w:tcW w:w="811" w:type="pct"/>
            <w:vMerge w:val="continue"/>
            <w:vAlign w:val="center"/>
          </w:tcPr>
          <w:p w14:paraId="06D03518">
            <w:pPr>
              <w:widowControl/>
              <w:spacing w:before="100" w:beforeAutospacing="1" w:after="100" w:afterAutospacing="1" w:line="576" w:lineRule="exact"/>
              <w:rPr>
                <w:rFonts w:ascii="方正仿宋_GBK" w:hAnsi="Tahoma" w:eastAsia="方正仿宋_GBK" w:cs="Tahoma"/>
                <w:color w:val="252525"/>
                <w:kern w:val="0"/>
                <w:sz w:val="32"/>
                <w:szCs w:val="32"/>
              </w:rPr>
            </w:pPr>
          </w:p>
        </w:tc>
      </w:tr>
      <w:tr w14:paraId="1E3DE37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6" w:hRule="atLeast"/>
          <w:jc w:val="center"/>
        </w:trPr>
        <w:tc>
          <w:tcPr>
            <w:tcW w:w="2729" w:type="pct"/>
            <w:vAlign w:val="center"/>
          </w:tcPr>
          <w:p w14:paraId="72B61D92">
            <w:pPr>
              <w:widowControl/>
              <w:spacing w:before="100" w:beforeAutospacing="1" w:after="100" w:afterAutospacing="1" w:line="576" w:lineRule="exact"/>
              <w:rPr>
                <w:rFonts w:ascii="方正仿宋_GBK" w:hAnsi="Tahoma" w:eastAsia="方正仿宋_GBK" w:cs="Tahoma"/>
                <w:color w:val="252525"/>
                <w:kern w:val="0"/>
                <w:sz w:val="32"/>
                <w:szCs w:val="32"/>
              </w:rPr>
            </w:pPr>
            <w:r>
              <w:rPr>
                <w:rFonts w:hint="eastAsia" w:ascii="方正仿宋_GBK" w:hAnsi="ˎ̥" w:eastAsia="方正仿宋_GBK" w:cs="宋体"/>
                <w:color w:val="252525"/>
                <w:kern w:val="0"/>
                <w:sz w:val="32"/>
                <w:szCs w:val="32"/>
              </w:rPr>
              <w:t>未完成论文初稿或详细大纲</w:t>
            </w:r>
          </w:p>
        </w:tc>
        <w:tc>
          <w:tcPr>
            <w:tcW w:w="1460" w:type="pct"/>
            <w:vMerge w:val="continue"/>
            <w:vAlign w:val="center"/>
          </w:tcPr>
          <w:p w14:paraId="55DF0178">
            <w:pPr>
              <w:widowControl/>
              <w:spacing w:before="100" w:beforeAutospacing="1" w:after="100" w:afterAutospacing="1" w:line="576" w:lineRule="exact"/>
              <w:rPr>
                <w:rFonts w:ascii="方正仿宋_GBK" w:hAnsi="Tahoma" w:eastAsia="方正仿宋_GBK" w:cs="Tahoma"/>
                <w:color w:val="252525"/>
                <w:kern w:val="0"/>
                <w:sz w:val="32"/>
                <w:szCs w:val="32"/>
              </w:rPr>
            </w:pPr>
          </w:p>
        </w:tc>
        <w:tc>
          <w:tcPr>
            <w:tcW w:w="811" w:type="pct"/>
            <w:vMerge w:val="continue"/>
            <w:vAlign w:val="center"/>
          </w:tcPr>
          <w:p w14:paraId="0694763E">
            <w:pPr>
              <w:widowControl/>
              <w:spacing w:before="100" w:beforeAutospacing="1" w:after="100" w:afterAutospacing="1" w:line="576" w:lineRule="exact"/>
              <w:rPr>
                <w:rFonts w:ascii="方正仿宋_GBK" w:hAnsi="Tahoma" w:eastAsia="方正仿宋_GBK" w:cs="Tahoma"/>
                <w:color w:val="252525"/>
                <w:kern w:val="0"/>
                <w:sz w:val="32"/>
                <w:szCs w:val="32"/>
              </w:rPr>
            </w:pPr>
          </w:p>
        </w:tc>
      </w:tr>
    </w:tbl>
    <w:p w14:paraId="2D915A55">
      <w:pPr>
        <w:pStyle w:val="5"/>
        <w:spacing w:line="576" w:lineRule="exact"/>
        <w:ind w:firstLine="627" w:firstLineChars="196"/>
        <w:jc w:val="both"/>
        <w:rPr>
          <w:rFonts w:ascii="方正仿宋_GBK" w:hAnsi="Verdana" w:eastAsia="方正仿宋_GBK"/>
          <w:color w:val="171717"/>
          <w:sz w:val="32"/>
          <w:szCs w:val="32"/>
        </w:rPr>
      </w:pPr>
      <w:r>
        <w:rPr>
          <w:rFonts w:hint="eastAsia" w:ascii="方正仿宋_GBK" w:hAnsi="Verdana" w:eastAsia="方正仿宋_GBK"/>
          <w:color w:val="171717"/>
          <w:sz w:val="32"/>
          <w:szCs w:val="32"/>
        </w:rPr>
        <w:t>（三）考核组织与形式</w:t>
      </w:r>
    </w:p>
    <w:p w14:paraId="4A96F48D">
      <w:pPr>
        <w:spacing w:line="576" w:lineRule="exact"/>
        <w:ind w:firstLine="640" w:firstLineChars="200"/>
        <w:rPr>
          <w:rFonts w:ascii="方正仿宋_GBK" w:hAnsi="Calibri" w:eastAsia="方正仿宋_GBK" w:cs="仿宋_GB2312"/>
          <w:sz w:val="32"/>
          <w:szCs w:val="32"/>
        </w:rPr>
      </w:pPr>
      <w:r>
        <w:rPr>
          <w:rFonts w:hint="eastAsia" w:ascii="方正仿宋_GBK" w:hAnsi="Verdana" w:eastAsia="方正仿宋_GBK" w:cs="宋体"/>
          <w:color w:val="171717"/>
          <w:kern w:val="0"/>
          <w:sz w:val="32"/>
          <w:szCs w:val="32"/>
        </w:rPr>
        <w:t>各学院组织开展中期考核工作，具体形式由学院决定。</w:t>
      </w:r>
      <w:r>
        <w:rPr>
          <w:rFonts w:hint="eastAsia" w:ascii="方正仿宋_GBK" w:eastAsia="方正仿宋_GBK" w:cs="仿宋_GB2312"/>
          <w:sz w:val="32"/>
          <w:szCs w:val="32"/>
        </w:rPr>
        <w:t>考核组成员由3-5名相关领域的专家（博士生中期考核组组成人员职称为教授或已获得博士生研究生导师资格；硕士生中期考核组组成人员职称为副教授及以上或已获得硕士生导师资格）组成,其中组长一般由</w:t>
      </w:r>
      <w:r>
        <w:rPr>
          <w:rFonts w:hint="eastAsia" w:ascii="方正仿宋_GBK" w:hAnsi="Calibri" w:eastAsia="方正仿宋_GBK" w:cs="仿宋_GB2312"/>
          <w:sz w:val="32"/>
          <w:szCs w:val="32"/>
        </w:rPr>
        <w:t>教授职称的导师担任，另设秘书1人。</w:t>
      </w:r>
    </w:p>
    <w:p w14:paraId="60DD2BDD">
      <w:pPr>
        <w:spacing w:line="576" w:lineRule="exact"/>
        <w:ind w:firstLine="480" w:firstLineChars="150"/>
        <w:rPr>
          <w:rFonts w:ascii="方正仿宋_GBK" w:eastAsia="方正仿宋_GBK" w:cs="仿宋_GB2312"/>
          <w:sz w:val="32"/>
          <w:szCs w:val="32"/>
        </w:rPr>
      </w:pPr>
      <w:r>
        <w:rPr>
          <w:rFonts w:hint="eastAsia" w:ascii="方正仿宋_GBK" w:eastAsia="方正仿宋_GBK" w:cs="仿宋_GB2312"/>
          <w:sz w:val="32"/>
          <w:szCs w:val="32"/>
        </w:rPr>
        <w:t>（四）在中期考核会上，硕士生的陈述时间为10分钟左右；博士生的陈述时间为20分钟左右，专家对硕士生的提问时间为10分钟左右；对博士生的提问时间为15分钟左右。</w:t>
      </w:r>
    </w:p>
    <w:p w14:paraId="5BDD4D0C">
      <w:pPr>
        <w:spacing w:line="576" w:lineRule="exact"/>
        <w:ind w:firstLine="640" w:firstLineChars="200"/>
        <w:rPr>
          <w:rFonts w:ascii="方正仿宋_GBK" w:eastAsia="方正仿宋_GBK" w:cs="仿宋_GB2312"/>
          <w:sz w:val="32"/>
          <w:szCs w:val="32"/>
        </w:rPr>
      </w:pPr>
      <w:r>
        <w:rPr>
          <w:rFonts w:hint="eastAsia" w:ascii="方正仿宋_GBK" w:eastAsia="方正仿宋_GBK" w:cs="仿宋_GB2312"/>
          <w:sz w:val="32"/>
          <w:szCs w:val="32"/>
        </w:rPr>
        <w:t>（五）中期考核不合格或未参加本次考核的202</w:t>
      </w:r>
      <w:r>
        <w:rPr>
          <w:rFonts w:hint="eastAsia" w:ascii="方正仿宋_GBK" w:eastAsia="方正仿宋_GBK" w:cs="仿宋_GB2312"/>
          <w:sz w:val="32"/>
          <w:szCs w:val="32"/>
          <w:lang w:val="en-US" w:eastAsia="zh-CN"/>
        </w:rPr>
        <w:t>5</w:t>
      </w:r>
      <w:r>
        <w:rPr>
          <w:rFonts w:hint="eastAsia" w:ascii="方正仿宋_GBK" w:eastAsia="方正仿宋_GBK" w:cs="仿宋_GB2312"/>
          <w:sz w:val="32"/>
          <w:szCs w:val="32"/>
        </w:rPr>
        <w:t>届研究生，将取消202</w:t>
      </w:r>
      <w:r>
        <w:rPr>
          <w:rFonts w:hint="eastAsia" w:ascii="方正仿宋_GBK" w:eastAsia="方正仿宋_GBK" w:cs="仿宋_GB2312"/>
          <w:sz w:val="32"/>
          <w:szCs w:val="32"/>
          <w:lang w:val="en-US" w:eastAsia="zh-CN"/>
        </w:rPr>
        <w:t>5</w:t>
      </w:r>
      <w:r>
        <w:rPr>
          <w:rFonts w:hint="eastAsia" w:ascii="方正仿宋_GBK" w:eastAsia="方正仿宋_GBK" w:cs="仿宋_GB2312"/>
          <w:sz w:val="32"/>
          <w:szCs w:val="32"/>
        </w:rPr>
        <w:t>年度上半年学位申请审核资格，各学院视情节处以延期半年或一年毕业的决定，并将相关材料上报研究生院备案。</w:t>
      </w:r>
    </w:p>
    <w:p w14:paraId="6251930C">
      <w:pPr>
        <w:pStyle w:val="5"/>
        <w:spacing w:line="576" w:lineRule="exact"/>
        <w:jc w:val="both"/>
        <w:rPr>
          <w:rFonts w:hint="eastAsia" w:ascii="方正仿宋_GBK" w:hAnsi="Verdana" w:eastAsia="方正仿宋_GBK"/>
          <w:b/>
          <w:bCs/>
          <w:color w:val="171717"/>
          <w:sz w:val="32"/>
          <w:szCs w:val="32"/>
          <w:lang w:eastAsia="zh-CN"/>
        </w:rPr>
      </w:pPr>
      <w:r>
        <w:rPr>
          <w:rFonts w:hint="eastAsia" w:ascii="方正仿宋_GBK" w:hAnsi="Verdana" w:eastAsia="方正仿宋_GBK"/>
          <w:color w:val="171717"/>
          <w:sz w:val="32"/>
          <w:szCs w:val="32"/>
        </w:rPr>
        <w:t xml:space="preserve">     (六) 对论文内容涉密的，需在中期考核时就提出论文保密申请，并报研究生院学位办审核；未提出申请或申请未获批的论文，不得再申请保密论文。</w:t>
      </w:r>
      <w:r>
        <w:rPr>
          <w:rFonts w:hint="eastAsia" w:ascii="方正仿宋_GBK" w:hAnsi="Verdana" w:eastAsia="方正仿宋_GBK"/>
          <w:color w:val="171717"/>
          <w:sz w:val="32"/>
          <w:szCs w:val="32"/>
          <w:lang w:eastAsia="zh-CN"/>
        </w:rPr>
        <w:t>（</w:t>
      </w:r>
      <w:r>
        <w:rPr>
          <w:rFonts w:hint="eastAsia" w:ascii="方正仿宋_GBK" w:hAnsi="Verdana" w:eastAsia="方正仿宋_GBK"/>
          <w:b/>
          <w:bCs/>
          <w:color w:val="171717"/>
          <w:sz w:val="32"/>
          <w:szCs w:val="32"/>
        </w:rPr>
        <w:t>涉密论文的范围</w:t>
      </w:r>
      <w:r>
        <w:rPr>
          <w:rFonts w:ascii="方正仿宋_GBK" w:hAnsi="Verdana" w:eastAsia="方正仿宋_GBK"/>
          <w:b/>
          <w:bCs/>
          <w:color w:val="171717"/>
          <w:sz w:val="32"/>
          <w:szCs w:val="32"/>
        </w:rPr>
        <w:t>为保守国家秘密，保护知识产权、商业秘密等不宜公开</w:t>
      </w:r>
      <w:r>
        <w:rPr>
          <w:rFonts w:hint="eastAsia" w:ascii="方正仿宋_GBK" w:hAnsi="Verdana" w:eastAsia="方正仿宋_GBK"/>
          <w:b/>
          <w:bCs/>
          <w:color w:val="171717"/>
          <w:sz w:val="32"/>
          <w:szCs w:val="32"/>
        </w:rPr>
        <w:t>的</w:t>
      </w:r>
      <w:r>
        <w:rPr>
          <w:rFonts w:ascii="方正仿宋_GBK" w:hAnsi="Verdana" w:eastAsia="方正仿宋_GBK"/>
          <w:b/>
          <w:bCs/>
          <w:color w:val="171717"/>
          <w:sz w:val="32"/>
          <w:szCs w:val="32"/>
        </w:rPr>
        <w:t>内容</w:t>
      </w:r>
      <w:r>
        <w:rPr>
          <w:rFonts w:hint="eastAsia" w:ascii="方正仿宋_GBK" w:hAnsi="Verdana" w:eastAsia="方正仿宋_GBK"/>
          <w:b/>
          <w:bCs/>
          <w:color w:val="171717"/>
          <w:sz w:val="32"/>
          <w:szCs w:val="32"/>
        </w:rPr>
        <w:t>，而以未发表等理由申请涉密的一律不予接受；涉密论文的管理办法参照教育部相关规定</w:t>
      </w:r>
      <w:r>
        <w:rPr>
          <w:rFonts w:hint="eastAsia" w:ascii="方正仿宋_GBK" w:hAnsi="Verdana" w:eastAsia="方正仿宋_GBK"/>
          <w:b/>
          <w:bCs/>
          <w:color w:val="171717"/>
          <w:sz w:val="32"/>
          <w:szCs w:val="32"/>
          <w:lang w:eastAsia="zh-CN"/>
        </w:rPr>
        <w:t>）</w:t>
      </w:r>
    </w:p>
    <w:p w14:paraId="3C2C1AA4">
      <w:pPr>
        <w:pStyle w:val="5"/>
        <w:spacing w:line="576" w:lineRule="exact"/>
        <w:ind w:firstLine="643" w:firstLineChars="200"/>
        <w:jc w:val="both"/>
        <w:rPr>
          <w:rFonts w:ascii="方正仿宋_GBK" w:hAnsi="Verdana" w:eastAsia="方正仿宋_GBK"/>
          <w:color w:val="171717"/>
          <w:sz w:val="32"/>
          <w:szCs w:val="32"/>
        </w:rPr>
      </w:pPr>
      <w:r>
        <w:rPr>
          <w:rFonts w:hint="eastAsia" w:ascii="方正仿宋_GBK" w:hAnsi="Verdana" w:eastAsia="方正仿宋_GBK"/>
          <w:b/>
          <w:bCs/>
          <w:color w:val="171717"/>
          <w:sz w:val="32"/>
          <w:szCs w:val="32"/>
        </w:rPr>
        <w:t>二、上报材料相关要求</w:t>
      </w:r>
    </w:p>
    <w:p w14:paraId="3A4671EC">
      <w:pPr>
        <w:spacing w:line="576" w:lineRule="exact"/>
        <w:ind w:firstLine="800" w:firstLineChars="250"/>
        <w:rPr>
          <w:rFonts w:ascii="方正仿宋_GBK" w:eastAsia="方正仿宋_GBK" w:cs="仿宋_GB2312"/>
          <w:sz w:val="32"/>
          <w:szCs w:val="32"/>
        </w:rPr>
      </w:pPr>
      <w:r>
        <w:rPr>
          <w:rFonts w:hint="eastAsia" w:ascii="方正仿宋_GBK" w:eastAsia="方正仿宋_GBK" w:cs="仿宋_GB2312"/>
          <w:sz w:val="32"/>
          <w:szCs w:val="32"/>
        </w:rPr>
        <w:t>（一）各学院将中期考核的时间、地点、专家组成员信息的纸质版及电子版，于中期考核会前三天交研究生院学位办。</w:t>
      </w:r>
    </w:p>
    <w:p w14:paraId="1540CD78">
      <w:pPr>
        <w:spacing w:line="576" w:lineRule="exact"/>
        <w:ind w:firstLine="800" w:firstLineChars="250"/>
        <w:rPr>
          <w:rFonts w:ascii="方正仿宋_GBK" w:eastAsia="方正仿宋_GBK" w:cs="仿宋_GB2312"/>
          <w:sz w:val="32"/>
          <w:szCs w:val="32"/>
        </w:rPr>
      </w:pPr>
      <w:r>
        <w:rPr>
          <w:rFonts w:hint="eastAsia" w:ascii="方正仿宋_GBK" w:eastAsia="方正仿宋_GBK" w:cs="仿宋_GB2312"/>
          <w:sz w:val="32"/>
          <w:szCs w:val="32"/>
        </w:rPr>
        <w:t>（二）中期考核结束后，各学院将《西藏大学博士学位论文中期考核表》（附件1）、《西藏大学硕士学位论文中期考核表》（附件2）、《西藏大学202</w:t>
      </w:r>
      <w:r>
        <w:rPr>
          <w:rFonts w:hint="eastAsia" w:ascii="方正仿宋_GBK" w:eastAsia="方正仿宋_GBK" w:cs="仿宋_GB2312"/>
          <w:sz w:val="32"/>
          <w:szCs w:val="32"/>
          <w:lang w:val="en-US" w:eastAsia="zh-CN"/>
        </w:rPr>
        <w:t>5</w:t>
      </w:r>
      <w:r>
        <w:rPr>
          <w:rFonts w:hint="eastAsia" w:ascii="方正仿宋_GBK" w:eastAsia="方正仿宋_GBK" w:cs="仿宋_GB2312"/>
          <w:sz w:val="32"/>
          <w:szCs w:val="32"/>
        </w:rPr>
        <w:t>届博士研究生学位论文中期考核情况汇总表》（附件3）及《西藏大学202</w:t>
      </w:r>
      <w:r>
        <w:rPr>
          <w:rFonts w:hint="eastAsia" w:ascii="方正仿宋_GBK" w:eastAsia="方正仿宋_GBK" w:cs="仿宋_GB2312"/>
          <w:sz w:val="32"/>
          <w:szCs w:val="32"/>
          <w:lang w:val="en-US" w:eastAsia="zh-CN"/>
        </w:rPr>
        <w:t>5</w:t>
      </w:r>
      <w:r>
        <w:rPr>
          <w:rFonts w:hint="eastAsia" w:ascii="方正仿宋_GBK" w:eastAsia="方正仿宋_GBK" w:cs="仿宋_GB2312"/>
          <w:sz w:val="32"/>
          <w:szCs w:val="32"/>
        </w:rPr>
        <w:t>届硕士研究生学位论文中期考核情况汇总表》（附件4），汇总后报研究生院学位办备案。</w:t>
      </w:r>
    </w:p>
    <w:p w14:paraId="396A187A">
      <w:pPr>
        <w:spacing w:line="576" w:lineRule="exact"/>
        <w:ind w:firstLine="640" w:firstLineChars="200"/>
        <w:rPr>
          <w:rFonts w:ascii="方正仿宋_GBK" w:hAnsi="Verdana" w:eastAsia="方正仿宋_GBK"/>
          <w:color w:val="171717"/>
          <w:sz w:val="32"/>
          <w:szCs w:val="32"/>
        </w:rPr>
      </w:pPr>
      <w:r>
        <w:rPr>
          <w:rFonts w:hint="eastAsia" w:ascii="方正仿宋_GBK" w:eastAsia="方正仿宋_GBK" w:cs="仿宋_GB2312"/>
          <w:sz w:val="32"/>
          <w:szCs w:val="32"/>
        </w:rPr>
        <w:t>三、</w:t>
      </w:r>
      <w:r>
        <w:rPr>
          <w:rFonts w:hint="eastAsia" w:ascii="方正仿宋_GBK" w:hAnsi="Verdana" w:eastAsia="方正仿宋_GBK"/>
          <w:color w:val="171717"/>
          <w:sz w:val="32"/>
          <w:szCs w:val="32"/>
        </w:rPr>
        <w:t>各学院应高度重视，周密组织，确保研究生学位论文中期考核工作顺利进行。</w:t>
      </w:r>
    </w:p>
    <w:p w14:paraId="0267A59E">
      <w:pPr>
        <w:widowControl/>
        <w:spacing w:line="576" w:lineRule="exact"/>
        <w:ind w:firstLine="640" w:firstLineChars="200"/>
        <w:rPr>
          <w:rFonts w:ascii="方正仿宋_GBK" w:hAnsi="Verdana" w:eastAsia="方正仿宋_GBK"/>
          <w:color w:val="171717"/>
          <w:sz w:val="32"/>
          <w:szCs w:val="32"/>
        </w:rPr>
      </w:pPr>
      <w:r>
        <w:rPr>
          <w:rFonts w:hint="eastAsia" w:ascii="方正仿宋_GBK" w:hAnsi="Verdana" w:eastAsia="方正仿宋_GBK"/>
          <w:color w:val="171717"/>
          <w:sz w:val="32"/>
          <w:szCs w:val="32"/>
        </w:rPr>
        <w:t>四、1</w:t>
      </w:r>
      <w:r>
        <w:rPr>
          <w:rFonts w:hint="eastAsia" w:ascii="方正仿宋_GBK" w:hAnsi="Verdana" w:eastAsia="方正仿宋_GBK"/>
          <w:color w:val="171717"/>
          <w:sz w:val="32"/>
          <w:szCs w:val="32"/>
          <w:lang w:val="en-US" w:eastAsia="zh-CN"/>
        </w:rPr>
        <w:t>1</w:t>
      </w:r>
      <w:r>
        <w:rPr>
          <w:rFonts w:hint="eastAsia" w:ascii="方正仿宋_GBK" w:hAnsi="Verdana" w:eastAsia="方正仿宋_GBK"/>
          <w:color w:val="171717"/>
          <w:sz w:val="32"/>
          <w:szCs w:val="32"/>
        </w:rPr>
        <w:t>月</w:t>
      </w:r>
      <w:r>
        <w:rPr>
          <w:rFonts w:hint="eastAsia" w:ascii="方正仿宋_GBK" w:hAnsi="Verdana" w:eastAsia="方正仿宋_GBK"/>
          <w:color w:val="171717"/>
          <w:sz w:val="32"/>
          <w:szCs w:val="32"/>
          <w:lang w:val="en-US" w:eastAsia="zh-CN"/>
        </w:rPr>
        <w:t>20</w:t>
      </w:r>
      <w:r>
        <w:rPr>
          <w:rFonts w:hint="eastAsia" w:ascii="方正仿宋_GBK" w:hAnsi="Verdana" w:eastAsia="方正仿宋_GBK"/>
          <w:color w:val="171717"/>
          <w:sz w:val="32"/>
          <w:szCs w:val="32"/>
        </w:rPr>
        <w:t>日前各学院必须完成研究生中期考核工作并统一将所有研究生中期考核相关材料交研究生院学位办，过期不予受理。</w:t>
      </w:r>
    </w:p>
    <w:p w14:paraId="150DCBF1">
      <w:pPr>
        <w:spacing w:line="576" w:lineRule="exact"/>
        <w:ind w:firstLine="480" w:firstLineChars="150"/>
        <w:rPr>
          <w:rFonts w:ascii="方正仿宋_GBK" w:hAnsi="Verdana" w:eastAsia="方正仿宋_GBK"/>
          <w:color w:val="171717"/>
          <w:sz w:val="32"/>
          <w:szCs w:val="32"/>
        </w:rPr>
      </w:pPr>
      <w:r>
        <w:rPr>
          <w:rFonts w:hint="eastAsia" w:ascii="方正仿宋_GBK" w:hAnsi="Verdana" w:eastAsia="方正仿宋_GBK"/>
          <w:color w:val="171717"/>
          <w:sz w:val="32"/>
          <w:szCs w:val="32"/>
        </w:rPr>
        <w:t>联系人：张老师         联系方式：0891-6405193</w:t>
      </w:r>
    </w:p>
    <w:p w14:paraId="419E928B">
      <w:pPr>
        <w:spacing w:line="576" w:lineRule="exact"/>
        <w:ind w:firstLine="480" w:firstLineChars="150"/>
        <w:rPr>
          <w:rFonts w:ascii="方正仿宋_GBK" w:hAnsi="Verdana" w:eastAsia="方正仿宋_GBK"/>
          <w:color w:val="171717"/>
          <w:sz w:val="32"/>
          <w:szCs w:val="32"/>
        </w:rPr>
      </w:pPr>
      <w:r>
        <w:rPr>
          <w:rFonts w:hint="eastAsia" w:ascii="方正仿宋_GBK" w:hAnsi="Verdana" w:eastAsia="方正仿宋_GBK"/>
          <w:color w:val="171717"/>
          <w:sz w:val="32"/>
          <w:szCs w:val="32"/>
        </w:rPr>
        <w:t>邮箱：</w:t>
      </w:r>
      <w:r>
        <w:fldChar w:fldCharType="begin"/>
      </w:r>
      <w:r>
        <w:instrText xml:space="preserve"> HYPERLINK "mailto:1352389969@qq.com" </w:instrText>
      </w:r>
      <w:r>
        <w:fldChar w:fldCharType="separate"/>
      </w:r>
      <w:r>
        <w:rPr>
          <w:rStyle w:val="9"/>
          <w:rFonts w:hint="eastAsia" w:ascii="方正仿宋_GBK" w:hAnsi="Verdana" w:eastAsia="方正仿宋_GBK"/>
          <w:sz w:val="32"/>
          <w:szCs w:val="32"/>
        </w:rPr>
        <w:t>1352389969@qq.com</w:t>
      </w:r>
      <w:r>
        <w:rPr>
          <w:rStyle w:val="9"/>
          <w:rFonts w:hint="eastAsia" w:ascii="方正仿宋_GBK" w:hAnsi="Verdana" w:eastAsia="方正仿宋_GBK"/>
          <w:sz w:val="32"/>
          <w:szCs w:val="32"/>
        </w:rPr>
        <w:fldChar w:fldCharType="end"/>
      </w:r>
    </w:p>
    <w:p w14:paraId="0940ED93">
      <w:pPr>
        <w:spacing w:line="576" w:lineRule="exact"/>
        <w:ind w:firstLine="800" w:firstLineChars="250"/>
        <w:rPr>
          <w:rFonts w:ascii="方正仿宋_GBK" w:eastAsia="方正仿宋_GBK" w:cs="仿宋_GB2312"/>
          <w:sz w:val="32"/>
          <w:szCs w:val="32"/>
        </w:rPr>
      </w:pPr>
      <w:r>
        <w:rPr>
          <w:rFonts w:hint="eastAsia" w:ascii="方正仿宋_GBK" w:eastAsia="方正仿宋_GBK"/>
          <w:sz w:val="32"/>
          <w:szCs w:val="32"/>
        </w:rPr>
        <w:t>附件：1.</w:t>
      </w:r>
      <w:r>
        <w:rPr>
          <w:rFonts w:hint="eastAsia" w:ascii="方正仿宋_GBK" w:eastAsia="方正仿宋_GBK" w:cs="仿宋_GB2312"/>
          <w:sz w:val="32"/>
          <w:szCs w:val="32"/>
        </w:rPr>
        <w:t xml:space="preserve"> 《西藏大学博士学位论文中期考核表》</w:t>
      </w:r>
    </w:p>
    <w:p w14:paraId="5EEBD3F2">
      <w:pPr>
        <w:spacing w:line="576" w:lineRule="exact"/>
        <w:ind w:firstLine="1760" w:firstLineChars="550"/>
        <w:rPr>
          <w:rFonts w:ascii="方正仿宋_GBK" w:eastAsia="方正仿宋_GBK" w:cs="仿宋_GB2312"/>
          <w:sz w:val="32"/>
          <w:szCs w:val="32"/>
        </w:rPr>
      </w:pPr>
      <w:r>
        <w:rPr>
          <w:rFonts w:hint="eastAsia" w:ascii="方正仿宋_GBK" w:eastAsia="方正仿宋_GBK" w:cs="仿宋_GB2312"/>
          <w:sz w:val="32"/>
          <w:szCs w:val="32"/>
        </w:rPr>
        <w:t>2. 《西藏大学硕士学位论文中期考核表》</w:t>
      </w:r>
    </w:p>
    <w:p w14:paraId="4CBD2289">
      <w:pPr>
        <w:spacing w:line="576" w:lineRule="exact"/>
        <w:ind w:left="2236" w:leftChars="836" w:hanging="480" w:hangingChars="150"/>
        <w:rPr>
          <w:rFonts w:ascii="方正仿宋_GBK" w:eastAsia="方正仿宋_GBK" w:cs="仿宋_GB2312"/>
          <w:sz w:val="32"/>
          <w:szCs w:val="32"/>
        </w:rPr>
      </w:pPr>
      <w:r>
        <w:rPr>
          <w:rFonts w:hint="eastAsia" w:ascii="方正仿宋_GBK" w:eastAsia="方正仿宋_GBK" w:cs="仿宋_GB2312"/>
          <w:sz w:val="32"/>
          <w:szCs w:val="32"/>
        </w:rPr>
        <w:t>3.《西藏大学202</w:t>
      </w:r>
      <w:r>
        <w:rPr>
          <w:rFonts w:hint="eastAsia" w:ascii="方正仿宋_GBK" w:eastAsia="方正仿宋_GBK" w:cs="仿宋_GB2312"/>
          <w:sz w:val="32"/>
          <w:szCs w:val="32"/>
          <w:lang w:val="en-US" w:eastAsia="zh-CN"/>
        </w:rPr>
        <w:t>5</w:t>
      </w:r>
      <w:bookmarkStart w:id="0" w:name="_GoBack"/>
      <w:bookmarkEnd w:id="0"/>
      <w:r>
        <w:rPr>
          <w:rFonts w:hint="eastAsia" w:ascii="方正仿宋_GBK" w:eastAsia="方正仿宋_GBK" w:cs="仿宋_GB2312"/>
          <w:sz w:val="32"/>
          <w:szCs w:val="32"/>
        </w:rPr>
        <w:t>届博士研究生学位论文中期考核情况汇总表》</w:t>
      </w:r>
    </w:p>
    <w:p w14:paraId="2C8CD5B5">
      <w:pPr>
        <w:spacing w:line="576" w:lineRule="exact"/>
        <w:ind w:left="2236" w:leftChars="836" w:hanging="480" w:hangingChars="150"/>
        <w:rPr>
          <w:rFonts w:ascii="方正仿宋_GBK" w:eastAsia="方正仿宋_GBK" w:cs="仿宋_GB2312"/>
          <w:sz w:val="32"/>
          <w:szCs w:val="32"/>
        </w:rPr>
      </w:pPr>
      <w:r>
        <w:rPr>
          <w:rFonts w:hint="eastAsia" w:ascii="方正仿宋_GBK" w:eastAsia="方正仿宋_GBK" w:cs="仿宋_GB2312"/>
          <w:sz w:val="32"/>
          <w:szCs w:val="32"/>
        </w:rPr>
        <w:t>4. 《西藏大学202</w:t>
      </w:r>
      <w:r>
        <w:rPr>
          <w:rFonts w:hint="eastAsia" w:ascii="方正仿宋_GBK" w:eastAsia="方正仿宋_GBK" w:cs="仿宋_GB2312"/>
          <w:sz w:val="32"/>
          <w:szCs w:val="32"/>
          <w:lang w:val="en-US" w:eastAsia="zh-CN"/>
        </w:rPr>
        <w:t>5</w:t>
      </w:r>
      <w:r>
        <w:rPr>
          <w:rFonts w:hint="eastAsia" w:ascii="方正仿宋_GBK" w:eastAsia="方正仿宋_GBK" w:cs="仿宋_GB2312"/>
          <w:sz w:val="32"/>
          <w:szCs w:val="32"/>
        </w:rPr>
        <w:t>届硕士研究生学位论文中期考核情况汇总表》</w:t>
      </w:r>
    </w:p>
    <w:p w14:paraId="050737A0">
      <w:pPr>
        <w:spacing w:line="576" w:lineRule="exact"/>
        <w:ind w:firstLine="5280" w:firstLineChars="1650"/>
        <w:rPr>
          <w:rFonts w:ascii="方正仿宋_GBK" w:eastAsia="方正仿宋_GBK"/>
          <w:sz w:val="32"/>
          <w:szCs w:val="32"/>
        </w:rPr>
      </w:pPr>
      <w:r>
        <w:rPr>
          <w:rFonts w:hint="eastAsia" w:ascii="方正仿宋_GBK" w:eastAsia="方正仿宋_GBK"/>
          <w:sz w:val="32"/>
          <w:szCs w:val="32"/>
        </w:rPr>
        <w:t>研究生院</w:t>
      </w:r>
    </w:p>
    <w:p w14:paraId="2348A962">
      <w:pPr>
        <w:spacing w:line="576" w:lineRule="exact"/>
        <w:ind w:firstLine="4640" w:firstLineChars="1450"/>
        <w:rPr>
          <w:rFonts w:ascii="仿宋_GB2312" w:eastAsia="仿宋_GB2312"/>
          <w:sz w:val="32"/>
          <w:szCs w:val="32"/>
        </w:rPr>
      </w:pPr>
      <w:r>
        <w:rPr>
          <w:rFonts w:hint="eastAsia" w:ascii="方正仿宋_GBK" w:eastAsia="方正仿宋_GBK"/>
          <w:sz w:val="32"/>
          <w:szCs w:val="32"/>
        </w:rPr>
        <w:t>202</w:t>
      </w:r>
      <w:r>
        <w:rPr>
          <w:rFonts w:hint="eastAsia" w:ascii="方正仿宋_GBK" w:eastAsia="方正仿宋_GBK"/>
          <w:sz w:val="32"/>
          <w:szCs w:val="32"/>
          <w:lang w:val="en-US" w:eastAsia="zh-CN"/>
        </w:rPr>
        <w:t>4</w:t>
      </w:r>
      <w:r>
        <w:rPr>
          <w:rFonts w:hint="eastAsia" w:ascii="方正仿宋_GBK" w:eastAsia="方正仿宋_GBK"/>
          <w:sz w:val="32"/>
          <w:szCs w:val="32"/>
        </w:rPr>
        <w:t>年</w:t>
      </w:r>
      <w:r>
        <w:rPr>
          <w:rFonts w:hint="eastAsia" w:ascii="方正仿宋_GBK" w:eastAsia="方正仿宋_GBK"/>
          <w:sz w:val="32"/>
          <w:szCs w:val="32"/>
          <w:lang w:val="en-US" w:eastAsia="zh-CN"/>
        </w:rPr>
        <w:t>9</w:t>
      </w:r>
      <w:r>
        <w:rPr>
          <w:rFonts w:hint="eastAsia" w:ascii="方正仿宋_GBK" w:eastAsia="方正仿宋_GBK"/>
          <w:sz w:val="32"/>
          <w:szCs w:val="32"/>
        </w:rPr>
        <w:t>月</w:t>
      </w:r>
      <w:r>
        <w:rPr>
          <w:rFonts w:hint="eastAsia" w:ascii="方正仿宋_GBK" w:eastAsia="方正仿宋_GBK"/>
          <w:sz w:val="32"/>
          <w:szCs w:val="32"/>
          <w:lang w:val="en-US" w:eastAsia="zh-CN"/>
        </w:rPr>
        <w:t>27</w:t>
      </w:r>
      <w:r>
        <w:rPr>
          <w:rFonts w:hint="eastAsia" w:ascii="方正仿宋_GBK" w:eastAsia="方正仿宋_GBK"/>
          <w:sz w:val="32"/>
          <w:szCs w:val="32"/>
        </w:rPr>
        <w:t xml:space="preserve">日 </w:t>
      </w: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方正小标宋_GBK">
    <w:panose1 w:val="03000509000000000000"/>
    <w:charset w:val="86"/>
    <w:family w:val="script"/>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15620"/>
    </w:sdtPr>
    <w:sdtContent>
      <w:p w14:paraId="7CCE6637">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14:paraId="38289F24">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MyNzg4Mjg5Yzc5MmQzODMxZDYxY2Q5NDYyZjgwODIifQ=="/>
  </w:docVars>
  <w:rsids>
    <w:rsidRoot w:val="004608A9"/>
    <w:rsid w:val="0002531F"/>
    <w:rsid w:val="00036329"/>
    <w:rsid w:val="0006287D"/>
    <w:rsid w:val="00064EEE"/>
    <w:rsid w:val="000A39FA"/>
    <w:rsid w:val="000D1693"/>
    <w:rsid w:val="000E30B9"/>
    <w:rsid w:val="00103176"/>
    <w:rsid w:val="001048A9"/>
    <w:rsid w:val="00115D29"/>
    <w:rsid w:val="001232CE"/>
    <w:rsid w:val="001261C3"/>
    <w:rsid w:val="001374E7"/>
    <w:rsid w:val="001445AA"/>
    <w:rsid w:val="00152558"/>
    <w:rsid w:val="0016751F"/>
    <w:rsid w:val="00186390"/>
    <w:rsid w:val="001B7807"/>
    <w:rsid w:val="001E060C"/>
    <w:rsid w:val="00214F29"/>
    <w:rsid w:val="002426E5"/>
    <w:rsid w:val="00242F9F"/>
    <w:rsid w:val="00246A47"/>
    <w:rsid w:val="0025161D"/>
    <w:rsid w:val="002629BE"/>
    <w:rsid w:val="00267A96"/>
    <w:rsid w:val="0027281A"/>
    <w:rsid w:val="002873F7"/>
    <w:rsid w:val="0029563F"/>
    <w:rsid w:val="002C143E"/>
    <w:rsid w:val="002E3A81"/>
    <w:rsid w:val="002E74C8"/>
    <w:rsid w:val="003141F2"/>
    <w:rsid w:val="003263A9"/>
    <w:rsid w:val="003269AB"/>
    <w:rsid w:val="00331A10"/>
    <w:rsid w:val="00337680"/>
    <w:rsid w:val="003D0E5D"/>
    <w:rsid w:val="003D1D6B"/>
    <w:rsid w:val="003E4142"/>
    <w:rsid w:val="003F5710"/>
    <w:rsid w:val="00405FFB"/>
    <w:rsid w:val="00414692"/>
    <w:rsid w:val="00436834"/>
    <w:rsid w:val="004541AD"/>
    <w:rsid w:val="00455757"/>
    <w:rsid w:val="004608A9"/>
    <w:rsid w:val="004674D3"/>
    <w:rsid w:val="0047525C"/>
    <w:rsid w:val="004852D2"/>
    <w:rsid w:val="004B79C0"/>
    <w:rsid w:val="004D5F53"/>
    <w:rsid w:val="00513564"/>
    <w:rsid w:val="005438D0"/>
    <w:rsid w:val="00546D0B"/>
    <w:rsid w:val="00582243"/>
    <w:rsid w:val="00583723"/>
    <w:rsid w:val="005D5F08"/>
    <w:rsid w:val="005E3DA7"/>
    <w:rsid w:val="005E456D"/>
    <w:rsid w:val="00605116"/>
    <w:rsid w:val="00637178"/>
    <w:rsid w:val="00642BB2"/>
    <w:rsid w:val="006526A5"/>
    <w:rsid w:val="0066434F"/>
    <w:rsid w:val="00677E6A"/>
    <w:rsid w:val="00681C52"/>
    <w:rsid w:val="006874A2"/>
    <w:rsid w:val="006C5C5D"/>
    <w:rsid w:val="00743E08"/>
    <w:rsid w:val="00747440"/>
    <w:rsid w:val="007529CD"/>
    <w:rsid w:val="0075695A"/>
    <w:rsid w:val="0078204C"/>
    <w:rsid w:val="007B1212"/>
    <w:rsid w:val="007B568E"/>
    <w:rsid w:val="007E6667"/>
    <w:rsid w:val="007F780C"/>
    <w:rsid w:val="00805F8B"/>
    <w:rsid w:val="00806371"/>
    <w:rsid w:val="0080745B"/>
    <w:rsid w:val="0081620C"/>
    <w:rsid w:val="00852FB4"/>
    <w:rsid w:val="00855039"/>
    <w:rsid w:val="008619A6"/>
    <w:rsid w:val="00882002"/>
    <w:rsid w:val="00892452"/>
    <w:rsid w:val="008B0A6B"/>
    <w:rsid w:val="008C7AA5"/>
    <w:rsid w:val="00902BBF"/>
    <w:rsid w:val="00910CB3"/>
    <w:rsid w:val="00960B91"/>
    <w:rsid w:val="00970ABE"/>
    <w:rsid w:val="00982945"/>
    <w:rsid w:val="00A347C6"/>
    <w:rsid w:val="00A6313B"/>
    <w:rsid w:val="00A67ACE"/>
    <w:rsid w:val="00AA790D"/>
    <w:rsid w:val="00AC4518"/>
    <w:rsid w:val="00B2367E"/>
    <w:rsid w:val="00BD255A"/>
    <w:rsid w:val="00BD458B"/>
    <w:rsid w:val="00BD645A"/>
    <w:rsid w:val="00BD6CB3"/>
    <w:rsid w:val="00BF54DE"/>
    <w:rsid w:val="00C0562E"/>
    <w:rsid w:val="00C16CFD"/>
    <w:rsid w:val="00C210E1"/>
    <w:rsid w:val="00C353DC"/>
    <w:rsid w:val="00C51CD5"/>
    <w:rsid w:val="00C5418E"/>
    <w:rsid w:val="00C57CDA"/>
    <w:rsid w:val="00C76602"/>
    <w:rsid w:val="00C94B69"/>
    <w:rsid w:val="00CB640D"/>
    <w:rsid w:val="00CB72D9"/>
    <w:rsid w:val="00CC58C3"/>
    <w:rsid w:val="00CD4205"/>
    <w:rsid w:val="00CD60E1"/>
    <w:rsid w:val="00D61CB8"/>
    <w:rsid w:val="00D73897"/>
    <w:rsid w:val="00DD1511"/>
    <w:rsid w:val="00DD1B32"/>
    <w:rsid w:val="00E13989"/>
    <w:rsid w:val="00E21DF0"/>
    <w:rsid w:val="00E23668"/>
    <w:rsid w:val="00E418B6"/>
    <w:rsid w:val="00E469E9"/>
    <w:rsid w:val="00E6173C"/>
    <w:rsid w:val="00E62188"/>
    <w:rsid w:val="00E82548"/>
    <w:rsid w:val="00E866F8"/>
    <w:rsid w:val="00EB5C27"/>
    <w:rsid w:val="00EE085C"/>
    <w:rsid w:val="00EE4459"/>
    <w:rsid w:val="00EF56E1"/>
    <w:rsid w:val="00F11548"/>
    <w:rsid w:val="00F13304"/>
    <w:rsid w:val="00F37BA3"/>
    <w:rsid w:val="00F40D08"/>
    <w:rsid w:val="00F77D9D"/>
    <w:rsid w:val="00F93D04"/>
    <w:rsid w:val="00FA3D52"/>
    <w:rsid w:val="00FA6746"/>
    <w:rsid w:val="00FB306A"/>
    <w:rsid w:val="00FE76AD"/>
    <w:rsid w:val="00FF3DBB"/>
    <w:rsid w:val="07753F85"/>
    <w:rsid w:val="1F1731A7"/>
    <w:rsid w:val="28E0583E"/>
    <w:rsid w:val="33570E8C"/>
    <w:rsid w:val="39FE4987"/>
    <w:rsid w:val="3BDB7541"/>
    <w:rsid w:val="5AA910E3"/>
    <w:rsid w:val="64693A16"/>
    <w:rsid w:val="66467194"/>
    <w:rsid w:val="68311BC3"/>
    <w:rsid w:val="6A706ADF"/>
    <w:rsid w:val="6BEE38A7"/>
    <w:rsid w:val="77800BBC"/>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semiHidden/>
    <w:unhideWhenUsed/>
    <w:uiPriority w:val="99"/>
    <w:pPr>
      <w:ind w:left="100" w:leftChars="2500"/>
    </w:p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jc w:val="left"/>
    </w:pPr>
    <w:rPr>
      <w:rFonts w:ascii="宋体" w:hAnsi="宋体" w:eastAsia="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Hyperlink"/>
    <w:basedOn w:val="8"/>
    <w:unhideWhenUsed/>
    <w:qFormat/>
    <w:uiPriority w:val="99"/>
    <w:rPr>
      <w:color w:val="0000FF" w:themeColor="hyperlink"/>
      <w:u w:val="single"/>
    </w:rPr>
  </w:style>
  <w:style w:type="character" w:customStyle="1" w:styleId="10">
    <w:name w:val="日期 字符"/>
    <w:basedOn w:val="8"/>
    <w:link w:val="2"/>
    <w:semiHidden/>
    <w:qFormat/>
    <w:uiPriority w:val="99"/>
  </w:style>
  <w:style w:type="character" w:customStyle="1" w:styleId="11">
    <w:name w:val="页眉 字符"/>
    <w:basedOn w:val="8"/>
    <w:link w:val="4"/>
    <w:semiHidden/>
    <w:qFormat/>
    <w:uiPriority w:val="99"/>
    <w:rPr>
      <w:sz w:val="18"/>
      <w:szCs w:val="18"/>
    </w:rPr>
  </w:style>
  <w:style w:type="character" w:customStyle="1" w:styleId="12">
    <w:name w:val="页脚 字符"/>
    <w:basedOn w:val="8"/>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0842E-D088-4CC7-BD97-A70B4CD5C998}">
  <ds:schemaRefs/>
</ds:datastoreItem>
</file>

<file path=docProps/app.xml><?xml version="1.0" encoding="utf-8"?>
<Properties xmlns="http://schemas.openxmlformats.org/officeDocument/2006/extended-properties" xmlns:vt="http://schemas.openxmlformats.org/officeDocument/2006/docPropsVTypes">
  <Template>Normal</Template>
  <Company> </Company>
  <Pages>4</Pages>
  <Words>1217</Words>
  <Characters>1295</Characters>
  <Lines>11</Lines>
  <Paragraphs>3</Paragraphs>
  <TotalTime>16</TotalTime>
  <ScaleCrop>false</ScaleCrop>
  <LinksUpToDate>false</LinksUpToDate>
  <CharactersWithSpaces>1326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2016-11-18T03:56:00Z</dcterms:created>
  <dc:creator>Windows 用户</dc:creator>
  <cp:lastModifiedBy>dell</cp:lastModifiedBy>
  <cp:lastPrinted>2021-09-24T04:33:00Z</cp:lastPrinted>
  <dcterms:modified xsi:type="dcterms:W3CDTF">2024-09-27T07:58:26Z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A9C0EC531FB34733A72C0B0E0709D04A</vt:lpwstr>
  </property>
</Properties>
</file>